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DE" w:rsidRDefault="00877ADE" w:rsidP="00877ADE">
      <w:pPr>
        <w:pStyle w:val="NormalWeb"/>
        <w:shd w:val="clear" w:color="auto" w:fill="FFFFFF"/>
        <w:spacing w:after="0" w:afterAutospacing="0"/>
        <w:jc w:val="both"/>
        <w:rPr>
          <w:rStyle w:val="Strong"/>
          <w:rFonts w:asciiTheme="majorHAnsi" w:hAnsiTheme="majorHAnsi" w:cstheme="majorHAnsi"/>
          <w:sz w:val="28"/>
          <w:szCs w:val="28"/>
          <w:lang w:val="en-US"/>
        </w:rPr>
      </w:pPr>
    </w:p>
    <w:p w:rsidR="00ED2A21" w:rsidRDefault="00A10F20" w:rsidP="00877ADE">
      <w:pPr>
        <w:pStyle w:val="NormalWeb"/>
        <w:shd w:val="clear" w:color="auto" w:fill="FFFFFF"/>
        <w:spacing w:before="0" w:beforeAutospacing="0" w:after="0" w:afterAutospacing="0"/>
        <w:jc w:val="both"/>
        <w:rPr>
          <w:rStyle w:val="Strong"/>
          <w:rFonts w:asciiTheme="majorHAnsi" w:hAnsiTheme="majorHAnsi" w:cstheme="majorHAnsi"/>
          <w:sz w:val="28"/>
          <w:szCs w:val="28"/>
          <w:lang w:val="en-US"/>
        </w:rPr>
      </w:pPr>
      <w:r>
        <w:rPr>
          <w:rStyle w:val="Strong"/>
          <w:rFonts w:asciiTheme="majorHAnsi" w:hAnsiTheme="majorHAnsi" w:cstheme="majorHAnsi"/>
          <w:sz w:val="28"/>
          <w:szCs w:val="28"/>
          <w:lang w:val="en-US"/>
        </w:rPr>
        <w:t>Trung tâm Y tế thành phố</w:t>
      </w:r>
      <w:bookmarkStart w:id="0" w:name="_GoBack"/>
      <w:bookmarkEnd w:id="0"/>
      <w:r w:rsidR="00877ADE">
        <w:rPr>
          <w:rStyle w:val="Strong"/>
          <w:rFonts w:asciiTheme="majorHAnsi" w:hAnsiTheme="majorHAnsi" w:cstheme="majorHAnsi"/>
          <w:sz w:val="28"/>
          <w:szCs w:val="28"/>
          <w:lang w:val="en-US"/>
        </w:rPr>
        <w:t xml:space="preserve"> Thủ Đức</w:t>
      </w:r>
    </w:p>
    <w:p w:rsidR="00877ADE" w:rsidRPr="00877ADE" w:rsidRDefault="00877ADE" w:rsidP="00877ADE">
      <w:pPr>
        <w:pStyle w:val="NormalWeb"/>
        <w:shd w:val="clear" w:color="auto" w:fill="FFFFFF"/>
        <w:spacing w:before="0" w:beforeAutospacing="0" w:after="180" w:afterAutospacing="0"/>
        <w:jc w:val="both"/>
        <w:rPr>
          <w:rStyle w:val="Strong"/>
          <w:rFonts w:asciiTheme="majorHAnsi" w:hAnsiTheme="majorHAnsi" w:cstheme="majorHAnsi"/>
          <w:sz w:val="28"/>
          <w:szCs w:val="28"/>
          <w:lang w:val="en-US"/>
        </w:rPr>
      </w:pPr>
      <w:r>
        <w:rPr>
          <w:rStyle w:val="Strong"/>
          <w:rFonts w:asciiTheme="majorHAnsi" w:hAnsiTheme="majorHAnsi" w:cstheme="majorHAnsi"/>
          <w:sz w:val="28"/>
          <w:szCs w:val="28"/>
          <w:lang w:val="en-US"/>
        </w:rPr>
        <w:t>Phòng DS-TTGDSK</w:t>
      </w:r>
    </w:p>
    <w:p w:rsidR="00E726E5" w:rsidRPr="00775BA7" w:rsidRDefault="00E726E5" w:rsidP="00E726E5">
      <w:pPr>
        <w:pStyle w:val="NormalWeb"/>
        <w:shd w:val="clear" w:color="auto" w:fill="FFFFFF"/>
        <w:spacing w:after="180" w:afterAutospacing="0"/>
        <w:jc w:val="center"/>
        <w:rPr>
          <w:rStyle w:val="Strong"/>
          <w:rFonts w:asciiTheme="majorHAnsi" w:hAnsiTheme="majorHAnsi" w:cstheme="majorHAnsi"/>
          <w:sz w:val="28"/>
          <w:szCs w:val="28"/>
        </w:rPr>
      </w:pPr>
      <w:r w:rsidRPr="00775BA7">
        <w:rPr>
          <w:rStyle w:val="Strong"/>
          <w:rFonts w:asciiTheme="majorHAnsi" w:hAnsiTheme="majorHAnsi" w:cstheme="majorHAnsi"/>
          <w:sz w:val="28"/>
          <w:szCs w:val="28"/>
        </w:rPr>
        <w:t>BỆNH BẠCH HẦU</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Style w:val="Strong"/>
          <w:rFonts w:asciiTheme="majorHAnsi" w:hAnsiTheme="majorHAnsi" w:cstheme="majorHAnsi"/>
          <w:sz w:val="28"/>
          <w:szCs w:val="28"/>
        </w:rPr>
        <w:t>Bệnh bạch hầu là bệnh nhiễm khuẩn, nhiễm độc cấp tính do vi khuẩn bạch hầu gây nên; bệnh thường gặp ở trẻ nhỏ, tuy nhiên cũng có thể gặp ở người lớn nếu không có miễn dịch.</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Bệnh lây truyền dễ dàng qua đường hô hấp hoặc qua tiếp xúc trực tiếp với các dịch tiết từ niêm mạc mũi họng của bệnh nhân hoặc người lành mang trùng khi ho, hắt hơi, đặc biệt trong khu vực dân cư đông đúc hoặc nơi có điều kiện vệ sinh không đảm bảo. Biểu hiện bệnh có thể từ nhẹ đến nặng, thường có giả mạc màu trắng ở tuyến hạnh nhân, hầu họng, thanh quản, mũi, có thể xuất hiện ở da, các màng niêm mạc khác như kết mạc mắt hoặc bộ phận sinh dục, trường hợp nặng có thể gây biến chứng và tử vong.</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Hiện bệnh bạch hầu chưa được loại trừ ở nước ta, do đó người dân vẫn có thể mắc bệnh nếu chưa tiêm vắc xin phòng bệnh và tiếp xúc với mầm bệnh. </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Style w:val="Strong"/>
          <w:rFonts w:asciiTheme="majorHAnsi" w:hAnsiTheme="majorHAnsi" w:cstheme="majorHAnsi"/>
          <w:sz w:val="28"/>
          <w:szCs w:val="28"/>
        </w:rPr>
        <w:t>Để chủ động phòng chống bệnh bạch hầu, Cục Y tế dự phòng khuyến cáo người dân cần thực hiện tốt các biện pháp sau:</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1. Đưa trẻ đi tiêm chủng tiêm vắc xin phối hợp phòng bệnh bạch hầu: ComBe Five hoặc DPT-VGB-Hib (SII), Td đầy đủ, đúng lịch.</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2. Thường xuyên rửa tay bằng xà phòng; che miệng khi ho hoặc hắt hơi; giữ vệ sinh thân thể, mũi, họng hàng ngày; hạn chế tiếp xúc với người mắc bệnh hoặc nghi ngờ mắc bệnh.</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3. Đảm bảo nhà ở, nhà trẻ, lớp học thông thoáng, sạch sẽ và có đủ ánh sáng.</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4. Khi có dấu hiệu mắc bệnh hoặc nghi ngờ mắc bệnh bạch hầu phải được cách ly và đưa đến cơ sở y tế để được khám, điều trị kịp thời.</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Fonts w:asciiTheme="majorHAnsi" w:hAnsiTheme="majorHAnsi" w:cstheme="majorHAnsi"/>
          <w:sz w:val="28"/>
          <w:szCs w:val="28"/>
        </w:rPr>
        <w:t>5. Người dân trong ổ dịch cần chấp hành nghiêm túc việc uống thuốc phòng và tiêm vắc xin phòng bệnh theo chỉ định và yêu cầu của cơ quan y tế.</w:t>
      </w:r>
    </w:p>
    <w:p w:rsidR="00ED2A21" w:rsidRPr="00775BA7" w:rsidRDefault="00ED2A21" w:rsidP="00ED2A21">
      <w:pPr>
        <w:pStyle w:val="NormalWeb"/>
        <w:shd w:val="clear" w:color="auto" w:fill="FFFFFF"/>
        <w:spacing w:after="180" w:afterAutospacing="0"/>
        <w:jc w:val="both"/>
        <w:rPr>
          <w:rFonts w:asciiTheme="majorHAnsi" w:hAnsiTheme="majorHAnsi" w:cstheme="majorHAnsi"/>
          <w:sz w:val="28"/>
          <w:szCs w:val="28"/>
        </w:rPr>
      </w:pPr>
      <w:r w:rsidRPr="00775BA7">
        <w:rPr>
          <w:rStyle w:val="Strong"/>
          <w:rFonts w:asciiTheme="majorHAnsi" w:hAnsiTheme="majorHAnsi" w:cstheme="majorHAnsi"/>
          <w:sz w:val="28"/>
          <w:szCs w:val="28"/>
        </w:rPr>
        <w:t>Lịch tiêm chủng vắc xin SII trong Chương trình Tiêm chủng mở rộng:</w:t>
      </w:r>
    </w:p>
    <w:p w:rsidR="00ED2A21" w:rsidRPr="00775BA7" w:rsidRDefault="00ED2A21" w:rsidP="00ED2A21">
      <w:pPr>
        <w:pStyle w:val="NormalWeb"/>
        <w:shd w:val="clear" w:color="auto" w:fill="FFFFFF"/>
        <w:spacing w:after="180" w:afterAutospacing="0"/>
        <w:rPr>
          <w:rFonts w:asciiTheme="majorHAnsi" w:hAnsiTheme="majorHAnsi" w:cstheme="majorHAnsi"/>
          <w:sz w:val="28"/>
          <w:szCs w:val="28"/>
        </w:rPr>
      </w:pPr>
      <w:r w:rsidRPr="00775BA7">
        <w:rPr>
          <w:rStyle w:val="Strong"/>
          <w:rFonts w:asciiTheme="majorHAnsi" w:hAnsiTheme="majorHAnsi" w:cstheme="majorHAnsi"/>
          <w:sz w:val="28"/>
          <w:szCs w:val="28"/>
        </w:rPr>
        <w:t>Mũi 1:</w:t>
      </w:r>
      <w:r w:rsidRPr="00775BA7">
        <w:rPr>
          <w:rFonts w:asciiTheme="majorHAnsi" w:hAnsiTheme="majorHAnsi" w:cstheme="majorHAnsi"/>
          <w:sz w:val="28"/>
          <w:szCs w:val="28"/>
        </w:rPr>
        <w:t> Tiêm khi trẻ được 2 tháng tuổi</w:t>
      </w:r>
      <w:r w:rsidRPr="00775BA7">
        <w:rPr>
          <w:rFonts w:asciiTheme="majorHAnsi" w:hAnsiTheme="majorHAnsi" w:cstheme="majorHAnsi"/>
          <w:sz w:val="28"/>
          <w:szCs w:val="28"/>
        </w:rPr>
        <w:br/>
      </w:r>
      <w:r w:rsidRPr="00775BA7">
        <w:rPr>
          <w:rStyle w:val="Strong"/>
          <w:rFonts w:asciiTheme="majorHAnsi" w:hAnsiTheme="majorHAnsi" w:cstheme="majorHAnsi"/>
          <w:sz w:val="28"/>
          <w:szCs w:val="28"/>
        </w:rPr>
        <w:t>Mũi 2:</w:t>
      </w:r>
      <w:r w:rsidRPr="00775BA7">
        <w:rPr>
          <w:rFonts w:asciiTheme="majorHAnsi" w:hAnsiTheme="majorHAnsi" w:cstheme="majorHAnsi"/>
          <w:sz w:val="28"/>
          <w:szCs w:val="28"/>
        </w:rPr>
        <w:t> Sau mũi thứ nhất 1 tháng</w:t>
      </w:r>
      <w:r w:rsidRPr="00775BA7">
        <w:rPr>
          <w:rFonts w:asciiTheme="majorHAnsi" w:hAnsiTheme="majorHAnsi" w:cstheme="majorHAnsi"/>
          <w:sz w:val="28"/>
          <w:szCs w:val="28"/>
        </w:rPr>
        <w:br/>
      </w:r>
      <w:r w:rsidRPr="00775BA7">
        <w:rPr>
          <w:rStyle w:val="Strong"/>
          <w:rFonts w:asciiTheme="majorHAnsi" w:hAnsiTheme="majorHAnsi" w:cstheme="majorHAnsi"/>
          <w:sz w:val="28"/>
          <w:szCs w:val="28"/>
        </w:rPr>
        <w:lastRenderedPageBreak/>
        <w:t>Mũi 3:</w:t>
      </w:r>
      <w:r w:rsidRPr="00775BA7">
        <w:rPr>
          <w:rFonts w:asciiTheme="majorHAnsi" w:hAnsiTheme="majorHAnsi" w:cstheme="majorHAnsi"/>
          <w:sz w:val="28"/>
          <w:szCs w:val="28"/>
        </w:rPr>
        <w:t> Sau mũi thứ hai 1 tháng </w:t>
      </w:r>
      <w:r w:rsidRPr="00775BA7">
        <w:rPr>
          <w:rFonts w:asciiTheme="majorHAnsi" w:hAnsiTheme="majorHAnsi" w:cstheme="majorHAnsi"/>
          <w:sz w:val="28"/>
          <w:szCs w:val="28"/>
        </w:rPr>
        <w:br/>
      </w:r>
      <w:r w:rsidRPr="00775BA7">
        <w:rPr>
          <w:rStyle w:val="Strong"/>
          <w:rFonts w:asciiTheme="majorHAnsi" w:hAnsiTheme="majorHAnsi" w:cstheme="majorHAnsi"/>
          <w:sz w:val="28"/>
          <w:szCs w:val="28"/>
        </w:rPr>
        <w:t>Mũi 4:</w:t>
      </w:r>
      <w:r w:rsidRPr="00775BA7">
        <w:rPr>
          <w:rFonts w:asciiTheme="majorHAnsi" w:hAnsiTheme="majorHAnsi" w:cstheme="majorHAnsi"/>
          <w:sz w:val="28"/>
          <w:szCs w:val="28"/>
        </w:rPr>
        <w:t> Khi trẻ 18 tháng tuổi.</w:t>
      </w:r>
    </w:p>
    <w:p w:rsidR="009903BC" w:rsidRPr="00775BA7" w:rsidRDefault="00AF6EB5" w:rsidP="00AF6EB5">
      <w:pPr>
        <w:jc w:val="right"/>
        <w:rPr>
          <w:rFonts w:asciiTheme="majorHAnsi" w:hAnsiTheme="majorHAnsi" w:cstheme="majorHAnsi"/>
          <w:i/>
          <w:sz w:val="28"/>
          <w:szCs w:val="28"/>
        </w:rPr>
      </w:pPr>
      <w:r w:rsidRPr="00775BA7">
        <w:rPr>
          <w:rFonts w:asciiTheme="majorHAnsi" w:hAnsiTheme="majorHAnsi" w:cstheme="majorHAnsi"/>
          <w:i/>
          <w:sz w:val="28"/>
          <w:szCs w:val="28"/>
        </w:rPr>
        <w:t>Nguồn: Cục Y tế Dự phòng</w:t>
      </w:r>
    </w:p>
    <w:sectPr w:rsidR="009903BC" w:rsidRPr="00775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21"/>
    <w:rsid w:val="00274956"/>
    <w:rsid w:val="00775BA7"/>
    <w:rsid w:val="00877ADE"/>
    <w:rsid w:val="008D763C"/>
    <w:rsid w:val="009903BC"/>
    <w:rsid w:val="00A10F20"/>
    <w:rsid w:val="00AF6EB5"/>
    <w:rsid w:val="00D518DC"/>
    <w:rsid w:val="00E726E5"/>
    <w:rsid w:val="00ED2A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ABAC"/>
  <w15:chartTrackingRefBased/>
  <w15:docId w15:val="{DFA49C09-C63F-4D26-ACA2-4B09A7E1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A2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D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Mivu Lee</dc:creator>
  <cp:keywords/>
  <dc:description/>
  <cp:lastModifiedBy>Mivu Lee</cp:lastModifiedBy>
  <cp:revision>9</cp:revision>
  <dcterms:created xsi:type="dcterms:W3CDTF">2024-07-09T01:09:00Z</dcterms:created>
  <dcterms:modified xsi:type="dcterms:W3CDTF">2024-07-09T01:20:00Z</dcterms:modified>
</cp:coreProperties>
</file>